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wynikający z art. 13 RODO w przypadku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56DA8503" w14:textId="77777777" w:rsidR="008143AD" w:rsidRPr="00FE1966" w:rsidRDefault="008143AD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FE1966">
        <w:rPr>
          <w:rFonts w:ascii="Garamond" w:hAnsi="Garamond"/>
          <w:b/>
          <w:i/>
          <w:sz w:val="24"/>
          <w:szCs w:val="24"/>
        </w:rPr>
        <w:t>Adaptacja budynku przy ulicy Warszawskiej 18a</w:t>
      </w:r>
    </w:p>
    <w:p w14:paraId="182DB276" w14:textId="1F1C42BB" w:rsidR="008143AD" w:rsidRDefault="008143AD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FE1966">
        <w:rPr>
          <w:rFonts w:ascii="Garamond" w:hAnsi="Garamond"/>
          <w:b/>
          <w:i/>
          <w:sz w:val="24"/>
          <w:szCs w:val="24"/>
        </w:rPr>
        <w:t>na Miejskie Centrum Kultury w Milanówku – Etap I</w:t>
      </w:r>
    </w:p>
    <w:p w14:paraId="1A38C2EC" w14:textId="49714207" w:rsidR="00570669" w:rsidRPr="00FE1966" w:rsidRDefault="00705463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sz w:val="22"/>
        </w:rPr>
        <w:t>ZP.271.23</w:t>
      </w:r>
      <w:r w:rsidR="00570669" w:rsidRPr="0064261D">
        <w:rPr>
          <w:rFonts w:ascii="Garamond" w:hAnsi="Garamond"/>
          <w:bCs/>
          <w:sz w:val="22"/>
        </w:rPr>
        <w:t>.TOM.2018</w:t>
      </w:r>
      <w:r w:rsidR="00570669">
        <w:rPr>
          <w:rFonts w:ascii="Garamond" w:hAnsi="Garamond"/>
          <w:b/>
          <w:i/>
          <w:sz w:val="18"/>
        </w:rPr>
        <w:t xml:space="preserve">  </w:t>
      </w:r>
    </w:p>
    <w:p w14:paraId="1A0542A5" w14:textId="77777777" w:rsidR="008143AD" w:rsidRPr="0090557B" w:rsidRDefault="008143AD" w:rsidP="008143AD">
      <w:pPr>
        <w:jc w:val="both"/>
        <w:rPr>
          <w:rFonts w:ascii="Garamond" w:eastAsia="Calibri" w:hAnsi="Garamond" w:cs="Arial"/>
          <w:b/>
          <w:i/>
        </w:rPr>
      </w:pPr>
    </w:p>
    <w:p w14:paraId="1AB0165D" w14:textId="77777777" w:rsidR="006D788C" w:rsidRPr="0090557B" w:rsidRDefault="006D788C" w:rsidP="00AE2A65">
      <w:pPr>
        <w:spacing w:after="0" w:line="240" w:lineRule="auto"/>
        <w:rPr>
          <w:rFonts w:ascii="Garamond" w:hAnsi="Garamond" w:cs="Arial"/>
          <w:i/>
          <w:u w:val="single"/>
        </w:rPr>
      </w:pPr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4224E098" w14:textId="77777777" w:rsidR="00705463" w:rsidRPr="00764139" w:rsidRDefault="00705463" w:rsidP="0070546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1BC8EDA7" w14:textId="77777777" w:rsidR="00705463" w:rsidRPr="00764139" w:rsidRDefault="00705463" w:rsidP="0070546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inspektorem ochrony danych osobowych Zamawiającego jest </w:t>
      </w:r>
      <w:r>
        <w:rPr>
          <w:rFonts w:ascii="Times New Roman" w:eastAsia="Times New Roman" w:hAnsi="Times New Roman" w:cs="Times New Roman"/>
          <w:lang w:eastAsia="pl-PL"/>
        </w:rPr>
        <w:t>Wiesława Kwiatkowska</w:t>
      </w:r>
      <w:r w:rsidRPr="00764139">
        <w:rPr>
          <w:rFonts w:ascii="Times New Roman" w:eastAsia="Times New Roman" w:hAnsi="Times New Roman" w:cs="Times New Roman"/>
          <w:lang w:eastAsia="pl-PL"/>
        </w:rPr>
        <w:t>, kontakt: adres e-mail</w:t>
      </w:r>
      <w:r>
        <w:rPr>
          <w:rFonts w:ascii="Times New Roman" w:eastAsia="Times New Roman" w:hAnsi="Times New Roman" w:cs="Times New Roman"/>
          <w:lang w:eastAsia="pl-PL"/>
        </w:rPr>
        <w:t>: wieslawa.kwiatkowska@milanowek.pl</w:t>
      </w:r>
      <w:r w:rsidRPr="00764139">
        <w:rPr>
          <w:rFonts w:ascii="Times New Roman" w:eastAsia="Times New Roman" w:hAnsi="Times New Roman" w:cs="Times New Roman"/>
          <w:lang w:eastAsia="pl-PL"/>
        </w:rPr>
        <w:t>, telefon</w:t>
      </w:r>
      <w:r>
        <w:rPr>
          <w:rFonts w:ascii="Times New Roman" w:eastAsia="Times New Roman" w:hAnsi="Times New Roman" w:cs="Times New Roman"/>
          <w:lang w:eastAsia="pl-PL"/>
        </w:rPr>
        <w:t>: 22 758 3061.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5D1A" w14:textId="77777777" w:rsidR="005F19C7" w:rsidRDefault="005F19C7" w:rsidP="00B62535">
      <w:pPr>
        <w:spacing w:after="0" w:line="240" w:lineRule="auto"/>
      </w:pPr>
      <w:r>
        <w:separator/>
      </w:r>
    </w:p>
  </w:endnote>
  <w:endnote w:type="continuationSeparator" w:id="0">
    <w:p w14:paraId="292AB202" w14:textId="77777777" w:rsidR="005F19C7" w:rsidRDefault="005F19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C1B5" w14:textId="77777777" w:rsidR="005F19C7" w:rsidRDefault="005F19C7" w:rsidP="00B62535">
      <w:pPr>
        <w:spacing w:after="0" w:line="240" w:lineRule="auto"/>
      </w:pPr>
      <w:r>
        <w:separator/>
      </w:r>
    </w:p>
  </w:footnote>
  <w:footnote w:type="continuationSeparator" w:id="0">
    <w:p w14:paraId="4AA5DF5F" w14:textId="77777777" w:rsidR="005F19C7" w:rsidRDefault="005F19C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514F" w14:textId="594BAEE6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893F71" w:rsidRPr="00893F71">
      <w:rPr>
        <w:rFonts w:ascii="Garamond" w:hAnsi="Garamond" w:cs="Arial"/>
        <w:b/>
      </w:rPr>
      <w:t>1</w:t>
    </w:r>
    <w:r w:rsidR="00192993">
      <w:rPr>
        <w:rFonts w:ascii="Garamond" w:hAnsi="Garamond" w:cs="Arial"/>
        <w:b/>
      </w:rPr>
      <w:t>0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0669"/>
    <w:rsid w:val="00571487"/>
    <w:rsid w:val="00585725"/>
    <w:rsid w:val="00593BFB"/>
    <w:rsid w:val="005A78DB"/>
    <w:rsid w:val="005B16F6"/>
    <w:rsid w:val="005C75CD"/>
    <w:rsid w:val="005E617F"/>
    <w:rsid w:val="005F19C7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5463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9CCD-B617-514F-A405-AC0E52CC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Marczewska</cp:lastModifiedBy>
  <cp:revision>2</cp:revision>
  <cp:lastPrinted>2018-05-25T09:02:00Z</cp:lastPrinted>
  <dcterms:created xsi:type="dcterms:W3CDTF">2018-06-26T09:49:00Z</dcterms:created>
  <dcterms:modified xsi:type="dcterms:W3CDTF">2018-06-26T09:49:00Z</dcterms:modified>
</cp:coreProperties>
</file>